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212E88" w:rsidRDefault="00212E88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12E88" w:rsidRDefault="00212E88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4F1F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4F1F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4F1F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4F1F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344000 </w:t>
      </w:r>
      <w:proofErr w:type="spellStart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 Сергей Николаевич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344000 </w:t>
      </w:r>
      <w:proofErr w:type="spellStart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. 440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253BB2">
        <w:rPr>
          <w:rFonts w:ascii="Times New Roman" w:hAnsi="Times New Roman" w:cs="Times New Roman"/>
          <w:bCs/>
          <w:sz w:val="20"/>
          <w:szCs w:val="20"/>
        </w:rPr>
        <w:t>бумаги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111DC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Срок поставки: со дня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подписания </w:t>
      </w:r>
      <w:r>
        <w:rPr>
          <w:rFonts w:ascii="Times New Roman" w:hAnsi="Times New Roman" w:cs="Times New Roman"/>
          <w:bCs/>
          <w:sz w:val="20"/>
          <w:szCs w:val="20"/>
        </w:rPr>
        <w:t>Д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оговора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094D1B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094D1B">
        <w:rPr>
          <w:rFonts w:ascii="Times New Roman" w:hAnsi="Times New Roman" w:cs="Times New Roman"/>
          <w:b/>
          <w:bCs/>
          <w:sz w:val="20"/>
          <w:szCs w:val="20"/>
        </w:rPr>
        <w:t>августа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094D1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A04C1" w:rsidRPr="002D3827" w:rsidTr="00CB3D65">
        <w:trPr>
          <w:trHeight w:val="653"/>
          <w:jc w:val="center"/>
        </w:trPr>
        <w:tc>
          <w:tcPr>
            <w:tcW w:w="560" w:type="dxa"/>
            <w:vAlign w:val="center"/>
          </w:tcPr>
          <w:p w:rsidR="009A04C1" w:rsidRDefault="00253BB2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17.12.14.119</w:t>
            </w:r>
          </w:p>
        </w:tc>
        <w:tc>
          <w:tcPr>
            <w:tcW w:w="1134" w:type="dxa"/>
            <w:vAlign w:val="center"/>
          </w:tcPr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16" w:type="dxa"/>
            <w:vAlign w:val="center"/>
          </w:tcPr>
          <w:p w:rsidR="00253BB2" w:rsidRDefault="00253BB2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Бумага </w:t>
            </w:r>
          </w:p>
          <w:p w:rsidR="009A04C1" w:rsidRPr="009A04C1" w:rsidRDefault="00253BB2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формата А3</w:t>
            </w:r>
          </w:p>
          <w:p w:rsidR="009A04C1" w:rsidRPr="009A04C1" w:rsidRDefault="009A04C1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1" w:type="dxa"/>
            <w:vAlign w:val="center"/>
          </w:tcPr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Бумага</w:t>
            </w:r>
            <w:r w:rsidR="00253BB2">
              <w:rPr>
                <w:rFonts w:ascii="Times New Roman" w:hAnsi="Times New Roman" w:cs="Times New Roman"/>
                <w:sz w:val="20"/>
                <w:szCs w:val="20"/>
              </w:rPr>
              <w:t xml:space="preserve"> для офисной техники, формата А3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международным стандартом ISO 2470</w:t>
            </w:r>
            <w:r w:rsidR="00094D1B">
              <w:rPr>
                <w:rFonts w:ascii="Times New Roman" w:hAnsi="Times New Roman" w:cs="Times New Roman"/>
                <w:sz w:val="20"/>
                <w:szCs w:val="20"/>
              </w:rPr>
              <w:t>-77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), плотность не менее 80 г/кв.м., белизна не хуже CIE 146%, шероховатость не более</w:t>
            </w:r>
            <w:r w:rsidR="00094D1B">
              <w:rPr>
                <w:rFonts w:ascii="Times New Roman" w:hAnsi="Times New Roman" w:cs="Times New Roman"/>
                <w:sz w:val="20"/>
                <w:szCs w:val="20"/>
              </w:rPr>
              <w:t xml:space="preserve"> 220 мл/мин, класс не ниже «С».</w:t>
            </w:r>
          </w:p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ГОСТ </w:t>
            </w:r>
            <w:proofErr w:type="gramStart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ИСО 9706-2000.</w:t>
            </w:r>
          </w:p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– пачка от </w:t>
            </w:r>
            <w:r w:rsidR="00253BB2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 xml:space="preserve"> до 550 листов.</w:t>
            </w:r>
          </w:p>
          <w:p w:rsidR="009A04C1" w:rsidRPr="009A04C1" w:rsidRDefault="009A04C1" w:rsidP="009A04C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C1">
              <w:rPr>
                <w:rFonts w:ascii="Times New Roman" w:hAnsi="Times New Roman" w:cs="Times New Roman"/>
                <w:sz w:val="20"/>
                <w:szCs w:val="20"/>
              </w:rPr>
              <w:t>Пачки упакованы в коробки не более 5 штук.</w:t>
            </w:r>
          </w:p>
        </w:tc>
        <w:tc>
          <w:tcPr>
            <w:tcW w:w="1134" w:type="dxa"/>
            <w:vAlign w:val="center"/>
          </w:tcPr>
          <w:p w:rsidR="009A04C1" w:rsidRPr="009A04C1" w:rsidRDefault="009A04C1" w:rsidP="009A04C1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9A04C1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пачка</w:t>
            </w:r>
          </w:p>
        </w:tc>
        <w:tc>
          <w:tcPr>
            <w:tcW w:w="841" w:type="dxa"/>
            <w:vAlign w:val="center"/>
          </w:tcPr>
          <w:p w:rsidR="009A04C1" w:rsidRPr="009A04C1" w:rsidRDefault="00094D1B" w:rsidP="0009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</w:tbl>
    <w:p w:rsidR="005C10F3" w:rsidRPr="00E01FB3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01FB3" w:rsidRPr="00E01FB3" w:rsidRDefault="00E01FB3" w:rsidP="00E01FB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E01FB3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товары должны быть новыми, не использованными;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не</w:t>
      </w:r>
      <w:r w:rsidR="00866994">
        <w:rPr>
          <w:rFonts w:ascii="Times New Roman" w:hAnsi="Times New Roman" w:cs="Times New Roman"/>
          <w:sz w:val="20"/>
          <w:szCs w:val="20"/>
        </w:rPr>
        <w:t xml:space="preserve"> </w:t>
      </w:r>
      <w:r w:rsidRPr="00E01FB3">
        <w:rPr>
          <w:rFonts w:ascii="Times New Roman" w:hAnsi="Times New Roman" w:cs="Times New Roman"/>
          <w:sz w:val="20"/>
          <w:szCs w:val="20"/>
        </w:rPr>
        <w:t xml:space="preserve">должно быть полиграфических браков, разводов, он должен поставляться в </w:t>
      </w:r>
      <w:proofErr w:type="gramStart"/>
      <w:r w:rsidRPr="00E01FB3">
        <w:rPr>
          <w:rFonts w:ascii="Times New Roman" w:hAnsi="Times New Roman" w:cs="Times New Roman"/>
          <w:sz w:val="20"/>
          <w:szCs w:val="20"/>
        </w:rPr>
        <w:t>упаковке</w:t>
      </w:r>
      <w:proofErr w:type="gramEnd"/>
      <w:r w:rsidRPr="00E01FB3">
        <w:rPr>
          <w:rFonts w:ascii="Times New Roman" w:hAnsi="Times New Roman" w:cs="Times New Roman"/>
          <w:sz w:val="20"/>
          <w:szCs w:val="20"/>
        </w:rPr>
        <w:t xml:space="preserve"> за</w:t>
      </w:r>
      <w:r w:rsidR="00866994">
        <w:rPr>
          <w:rFonts w:ascii="Times New Roman" w:hAnsi="Times New Roman" w:cs="Times New Roman"/>
          <w:sz w:val="20"/>
          <w:szCs w:val="20"/>
        </w:rPr>
        <w:t>щищающей</w:t>
      </w:r>
      <w:r w:rsidRPr="00E01FB3">
        <w:rPr>
          <w:rFonts w:ascii="Times New Roman" w:hAnsi="Times New Roman" w:cs="Times New Roman"/>
          <w:sz w:val="20"/>
          <w:szCs w:val="20"/>
        </w:rPr>
        <w:t xml:space="preserve"> от нам</w:t>
      </w:r>
      <w:r w:rsidRPr="00E01FB3">
        <w:rPr>
          <w:rFonts w:ascii="Times New Roman" w:hAnsi="Times New Roman" w:cs="Times New Roman"/>
          <w:sz w:val="20"/>
          <w:szCs w:val="20"/>
        </w:rPr>
        <w:t>о</w:t>
      </w:r>
      <w:r w:rsidRPr="00E01FB3">
        <w:rPr>
          <w:rFonts w:ascii="Times New Roman" w:hAnsi="Times New Roman" w:cs="Times New Roman"/>
          <w:sz w:val="20"/>
          <w:szCs w:val="20"/>
        </w:rPr>
        <w:t>кания и порчи товара;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гарантия качества товара должно соответствовать установленным для данного вида продукции нормам и треб</w:t>
      </w:r>
      <w:r w:rsidRPr="00E01FB3">
        <w:rPr>
          <w:rFonts w:ascii="Times New Roman" w:hAnsi="Times New Roman" w:cs="Times New Roman"/>
          <w:sz w:val="20"/>
          <w:szCs w:val="20"/>
        </w:rPr>
        <w:t>о</w:t>
      </w:r>
      <w:r w:rsidRPr="00E01FB3">
        <w:rPr>
          <w:rFonts w:ascii="Times New Roman" w:hAnsi="Times New Roman" w:cs="Times New Roman"/>
          <w:sz w:val="20"/>
          <w:szCs w:val="20"/>
        </w:rPr>
        <w:t>ваниям Государственных стандартов (ГОСТ Р),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территории РФ;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lastRenderedPageBreak/>
        <w:t>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Pr="00E01FB3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Pr="00E01FB3">
        <w:rPr>
          <w:rFonts w:ascii="Times New Roman" w:hAnsi="Times New Roman" w:cs="Times New Roman"/>
          <w:sz w:val="20"/>
          <w:szCs w:val="20"/>
        </w:rPr>
        <w:t>и</w:t>
      </w:r>
      <w:r w:rsidRPr="00E01FB3">
        <w:rPr>
          <w:rFonts w:ascii="Times New Roman" w:hAnsi="Times New Roman" w:cs="Times New Roman"/>
          <w:sz w:val="20"/>
          <w:szCs w:val="20"/>
        </w:rPr>
        <w:t xml:space="preserve">емки товара на складе заказчика, должен быть заменен поставщиком на такой же товар в течение 3 (трех) дней с момента подписания двустороннего акта приемки товара.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Все расходы, связанные с возвратом Товара ненадлежащего качества, ос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ществляются за счет Поставщика.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4D1B" w:rsidRPr="00394B9F" w:rsidRDefault="00094D1B" w:rsidP="00094D1B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B9F">
        <w:rPr>
          <w:rFonts w:ascii="Times New Roman" w:hAnsi="Times New Roman" w:cs="Times New Roman"/>
          <w:b/>
          <w:bCs/>
          <w:sz w:val="20"/>
          <w:szCs w:val="20"/>
        </w:rPr>
        <w:t xml:space="preserve">Расчет начальной (максимальной) цены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договора (далее НМЦД) </w:t>
      </w:r>
      <w:r w:rsidRPr="00394B9F">
        <w:rPr>
          <w:rFonts w:ascii="Times New Roman" w:hAnsi="Times New Roman" w:cs="Times New Roman"/>
          <w:b/>
          <w:bCs/>
          <w:sz w:val="20"/>
          <w:szCs w:val="20"/>
        </w:rPr>
        <w:t>методом сопоставимых рыночных цен (анализа рынка):</w:t>
      </w:r>
    </w:p>
    <w:p w:rsidR="00094D1B" w:rsidRPr="00CB73E7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094D1B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094D1B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094D1B" w:rsidRPr="00CB73E7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094D1B" w:rsidRPr="005979D3" w:rsidTr="00FF35EE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094D1B" w:rsidRPr="005979D3" w:rsidRDefault="00094D1B" w:rsidP="0009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пачка</w:t>
            </w:r>
          </w:p>
        </w:tc>
      </w:tr>
      <w:tr w:rsidR="00094D1B" w:rsidRPr="005979D3" w:rsidTr="00FF35EE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D1B" w:rsidRPr="005979D3" w:rsidTr="00FF35EE">
        <w:trPr>
          <w:trHeight w:val="251"/>
          <w:jc w:val="center"/>
        </w:trPr>
        <w:tc>
          <w:tcPr>
            <w:tcW w:w="659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4D1B" w:rsidRPr="005979D3" w:rsidTr="00FF35EE">
        <w:trPr>
          <w:trHeight w:val="489"/>
          <w:jc w:val="center"/>
        </w:trPr>
        <w:tc>
          <w:tcPr>
            <w:tcW w:w="659" w:type="dxa"/>
            <w:vAlign w:val="center"/>
          </w:tcPr>
          <w:p w:rsidR="00094D1B" w:rsidRPr="005979D3" w:rsidRDefault="00094D1B" w:rsidP="0009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094D1B" w:rsidRPr="00307214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Бумага формата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7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899,00</w:t>
            </w:r>
          </w:p>
        </w:tc>
        <w:tc>
          <w:tcPr>
            <w:tcW w:w="1869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775,00</w:t>
            </w:r>
          </w:p>
        </w:tc>
        <w:tc>
          <w:tcPr>
            <w:tcW w:w="1684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798,00</w:t>
            </w:r>
          </w:p>
        </w:tc>
        <w:tc>
          <w:tcPr>
            <w:tcW w:w="1195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094D1B" w:rsidRPr="004F1FFF" w:rsidRDefault="00094D1B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14"/>
        </w:rPr>
      </w:pPr>
    </w:p>
    <w:p w:rsidR="00094D1B" w:rsidRPr="00394B9F" w:rsidRDefault="00094D1B" w:rsidP="00094D1B">
      <w:pPr>
        <w:rPr>
          <w:rFonts w:ascii="Times New Roman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Расчет</w:t>
      </w:r>
    </w:p>
    <w:p w:rsidR="00094D1B" w:rsidRPr="00394B9F" w:rsidRDefault="00094D1B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394B9F">
        <w:rPr>
          <w:rFonts w:ascii="Times New Roman" w:hAnsi="Times New Roman" w:cs="Times New Roman"/>
          <w:sz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123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899,00+775,00+798,00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=98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114,41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094D1B" w:rsidRPr="004F1FFF" w:rsidRDefault="00094D1B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tbl>
      <w:tblPr>
        <w:tblpPr w:leftFromText="180" w:rightFromText="180" w:vertAnchor="text" w:horzAnchor="margin" w:tblpX="250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94"/>
        <w:gridCol w:w="2977"/>
      </w:tblGrid>
      <w:tr w:rsidR="00FF35EE" w:rsidRPr="00307214" w:rsidTr="00FF35E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Кол-во, ед. изм.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FF35EE" w:rsidRPr="00307214" w:rsidTr="00FF35E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Бумага формата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123 </w:t>
            </w:r>
            <w:proofErr w:type="spellStart"/>
            <w:r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</w:t>
            </w:r>
            <w:proofErr w:type="spellEnd"/>
            <w:r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4F1FF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4F1FF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98 114,41</w:t>
            </w:r>
          </w:p>
        </w:tc>
      </w:tr>
      <w:tr w:rsidR="00FF35EE" w:rsidRPr="00307214" w:rsidTr="00FF35EE">
        <w:trPr>
          <w:trHeight w:val="28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4F1FFF" w:rsidP="004F1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98 114,41</w:t>
            </w:r>
          </w:p>
        </w:tc>
      </w:tr>
    </w:tbl>
    <w:p w:rsidR="00FF35EE" w:rsidRDefault="00FF35EE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4D1B" w:rsidRPr="00094D1B" w:rsidRDefault="00094D1B" w:rsidP="004F1FF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>
        <w:rPr>
          <w:rFonts w:ascii="Times New Roman" w:hAnsi="Times New Roman"/>
          <w:b/>
          <w:color w:val="FF0000"/>
          <w:sz w:val="20"/>
        </w:rPr>
        <w:t>98 114,41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девяносто восемь тысяч сто четырнадцать рублей 41</w:t>
      </w:r>
      <w:r w:rsidRPr="003209DC">
        <w:rPr>
          <w:rFonts w:ascii="Times New Roman" w:hAnsi="Times New Roman"/>
          <w:sz w:val="20"/>
        </w:rPr>
        <w:t xml:space="preserve"> копе</w:t>
      </w:r>
      <w:r>
        <w:rPr>
          <w:rFonts w:ascii="Times New Roman" w:hAnsi="Times New Roman"/>
          <w:sz w:val="20"/>
        </w:rPr>
        <w:t>й</w:t>
      </w:r>
      <w:r w:rsidRPr="003209DC">
        <w:rPr>
          <w:rFonts w:ascii="Times New Roman" w:hAnsi="Times New Roman"/>
          <w:sz w:val="20"/>
        </w:rPr>
        <w:t>к</w:t>
      </w:r>
      <w:r>
        <w:rPr>
          <w:rFonts w:ascii="Times New Roman" w:hAnsi="Times New Roman"/>
          <w:sz w:val="20"/>
        </w:rPr>
        <w:t>а</w:t>
      </w:r>
      <w:r w:rsidRPr="003209DC">
        <w:rPr>
          <w:rFonts w:ascii="Times New Roman" w:hAnsi="Times New Roman"/>
          <w:sz w:val="20"/>
        </w:rPr>
        <w:t>).</w:t>
      </w: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4F1FFF">
        <w:rPr>
          <w:rFonts w:ascii="Times New Roman" w:hAnsi="Times New Roman" w:cs="Times New Roman"/>
          <w:sz w:val="20"/>
          <w:szCs w:val="20"/>
        </w:rPr>
        <w:t>15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4F1FFF">
        <w:rPr>
          <w:rFonts w:ascii="Times New Roman" w:hAnsi="Times New Roman" w:cs="Times New Roman"/>
          <w:sz w:val="20"/>
          <w:szCs w:val="20"/>
        </w:rPr>
        <w:t>пятнадцати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4F1FFF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</w:t>
      </w:r>
      <w:r w:rsidRPr="00B90E04">
        <w:rPr>
          <w:rFonts w:ascii="Times New Roman" w:hAnsi="Times New Roman" w:cs="Times New Roman"/>
          <w:sz w:val="20"/>
          <w:szCs w:val="20"/>
        </w:rPr>
        <w:lastRenderedPageBreak/>
        <w:t>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12E88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1FFF" w:rsidRPr="00213E52" w:rsidRDefault="004F1FFF" w:rsidP="004F1FFF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4F1FFF" w:rsidRPr="00213E52" w:rsidRDefault="004F1FFF" w:rsidP="004F1FFF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1FFF" w:rsidRPr="00213E52" w:rsidRDefault="004F1FFF" w:rsidP="004F1FF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4F1FFF" w:rsidRPr="000304B3" w:rsidRDefault="004F1FFF" w:rsidP="004F1FF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F1FFF" w:rsidRPr="000304B3" w:rsidRDefault="004F1FFF" w:rsidP="004F1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12. Порядок подачи заявок на участие в запросе котировок в электронной форме: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площадк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(далее – ЭТП) в сети Интернет - </w:t>
      </w:r>
      <w:r w:rsidRPr="000304B3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0304B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0304B3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4F1FFF" w:rsidRPr="000304B3" w:rsidRDefault="004F1FFF" w:rsidP="004F1FFF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4F1FFF" w:rsidRPr="000304B3" w:rsidRDefault="004F1FFF" w:rsidP="004F1FF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4F1FFF" w:rsidRPr="000304B3" w:rsidRDefault="004F1FFF" w:rsidP="004F1FFF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4F1FFF" w:rsidRPr="000304B3" w:rsidRDefault="004F1FFF" w:rsidP="004F1FFF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4F1FFF" w:rsidRPr="000304B3" w:rsidRDefault="004F1FFF" w:rsidP="004F1F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4F1FFF" w:rsidRPr="000304B3" w:rsidRDefault="004F1FFF" w:rsidP="004F1FF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4F1FFF" w:rsidRPr="000304B3" w:rsidRDefault="004F1FFF" w:rsidP="004F1FF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4F1FFF" w:rsidRPr="00213E52" w:rsidRDefault="004F1FFF" w:rsidP="004F1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1FFF" w:rsidRPr="00213E52" w:rsidRDefault="004F1FFF" w:rsidP="004F1FF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4F1FFF" w:rsidRPr="00213E52" w:rsidRDefault="004F1FFF" w:rsidP="004F1FFF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1FFF" w:rsidRPr="00213E52" w:rsidRDefault="004F1FFF" w:rsidP="004F1FFF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15. Приложения к извещению запроса котировок:</w:t>
      </w: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4F1FFF" w:rsidRPr="00213E52" w:rsidRDefault="004F1FFF" w:rsidP="004F1FFF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Pr="00213E52" w:rsidRDefault="004F1FFF" w:rsidP="004F1FFF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8C5" w:rsidRDefault="009178C5" w:rsidP="009178C5">
      <w:pPr>
        <w:tabs>
          <w:tab w:val="left" w:pos="720"/>
          <w:tab w:val="left" w:pos="924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4F1FFF" w:rsidRDefault="004F1FFF" w:rsidP="009178C5">
      <w:pPr>
        <w:tabs>
          <w:tab w:val="left" w:pos="720"/>
          <w:tab w:val="left" w:pos="924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начальника отдела ИТО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С.Н. Титов</w:t>
      </w:r>
    </w:p>
    <w:p w:rsidR="00307214" w:rsidRPr="00CF164F" w:rsidRDefault="004F1FF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экономист 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E88" w:rsidRDefault="00212E8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E88" w:rsidRDefault="00212E8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9178C5">
        <w:rPr>
          <w:rFonts w:ascii="Times New Roman" w:hAnsi="Times New Roman" w:cs="Times New Roman"/>
          <w:sz w:val="20"/>
          <w:szCs w:val="20"/>
        </w:rPr>
        <w:t xml:space="preserve">бумагу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4F1FFF">
        <w:rPr>
          <w:rFonts w:ascii="Times New Roman" w:hAnsi="Times New Roman" w:cs="Times New Roman"/>
          <w:b/>
          <w:color w:val="FF0000"/>
          <w:sz w:val="20"/>
          <w:szCs w:val="20"/>
        </w:rPr>
        <w:t>48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4F1FFF">
        <w:rPr>
          <w:rFonts w:ascii="Times New Roman" w:hAnsi="Times New Roman" w:cs="Times New Roman"/>
          <w:b/>
          <w:color w:val="FF0000"/>
          <w:sz w:val="20"/>
          <w:szCs w:val="20"/>
        </w:rPr>
        <w:t>13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4F1FFF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4F1FFF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4F1FF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4F1FF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4F1FF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4F1FF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4F1FF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B6" w:rsidRDefault="008F65B6" w:rsidP="003D59F3">
      <w:pPr>
        <w:spacing w:after="0" w:line="240" w:lineRule="auto"/>
      </w:pPr>
      <w:r>
        <w:separator/>
      </w:r>
    </w:p>
  </w:endnote>
  <w:endnote w:type="continuationSeparator" w:id="0">
    <w:p w:rsidR="008F65B6" w:rsidRDefault="008F65B6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FF35EE" w:rsidRDefault="00EF53DD">
        <w:pPr>
          <w:pStyle w:val="a3"/>
          <w:jc w:val="right"/>
        </w:pPr>
        <w:fldSimple w:instr=" PAGE   \* MERGEFORMAT ">
          <w:r w:rsidR="00111DCD">
            <w:rPr>
              <w:noProof/>
            </w:rPr>
            <w:t>1</w:t>
          </w:r>
        </w:fldSimple>
      </w:p>
    </w:sdtContent>
  </w:sdt>
  <w:p w:rsidR="00FF35EE" w:rsidRDefault="00FF35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B6" w:rsidRDefault="008F65B6" w:rsidP="003D59F3">
      <w:pPr>
        <w:spacing w:after="0" w:line="240" w:lineRule="auto"/>
      </w:pPr>
      <w:r>
        <w:separator/>
      </w:r>
    </w:p>
  </w:footnote>
  <w:footnote w:type="continuationSeparator" w:id="0">
    <w:p w:rsidR="008F65B6" w:rsidRDefault="008F65B6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D1B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DCD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E8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58E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1FFF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03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5B6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3DD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5EE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6211</Words>
  <Characters>35404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61</cp:revision>
  <cp:lastPrinted>2019-04-03T03:40:00Z</cp:lastPrinted>
  <dcterms:created xsi:type="dcterms:W3CDTF">2014-10-02T06:08:00Z</dcterms:created>
  <dcterms:modified xsi:type="dcterms:W3CDTF">2021-07-13T02:33:00Z</dcterms:modified>
</cp:coreProperties>
</file>